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AFA" w:rsidRPr="009E0E47" w:rsidRDefault="003D6D3E" w:rsidP="005E5AFA">
      <w:pPr>
        <w:autoSpaceDE w:val="0"/>
        <w:autoSpaceDN w:val="0"/>
        <w:adjustRightInd w:val="0"/>
        <w:spacing w:line="0" w:lineRule="atLeast"/>
        <w:jc w:val="center"/>
        <w:rPr>
          <w:rFonts w:ascii="微軟正黑體" w:eastAsia="微軟正黑體" w:hAnsi="微軟正黑體" w:cs="Times New Roman"/>
          <w:kern w:val="0"/>
          <w:szCs w:val="24"/>
        </w:rPr>
      </w:pPr>
      <w:r>
        <w:rPr>
          <w:rFonts w:ascii="微軟正黑體" w:eastAsia="微軟正黑體" w:hAnsi="微軟正黑體" w:cs="Times New Roman"/>
          <w:kern w:val="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27pt">
            <v:imagedata r:id="rId7" o:title="AEM-2-1"/>
          </v:shape>
        </w:pict>
      </w:r>
      <w:r w:rsidR="00930258" w:rsidRPr="009E0E47">
        <w:rPr>
          <w:rFonts w:ascii="微軟正黑體" w:eastAsia="微軟正黑體" w:hAnsi="微軟正黑體" w:cs="Times New Roman"/>
          <w:noProof/>
          <w:kern w:val="0"/>
          <w:szCs w:val="24"/>
        </w:rPr>
        <w:drawing>
          <wp:inline distT="0" distB="0" distL="0" distR="0">
            <wp:extent cx="3488690" cy="2538663"/>
            <wp:effectExtent l="0" t="0" r="0" b="0"/>
            <wp:docPr id="1" name="圖片 1" descr="D:\HHC\Downloads\nanocenter\AEM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HC\Downloads\nanocenter\AEM2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2"/>
                    <a:stretch/>
                  </pic:blipFill>
                  <pic:spPr bwMode="auto">
                    <a:xfrm>
                      <a:off x="0" y="0"/>
                      <a:ext cx="3488690" cy="25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258" w:rsidRPr="009E0E47" w:rsidRDefault="00930258" w:rsidP="0093025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061418" w:rsidRPr="003D6D3E" w:rsidRDefault="00930258" w:rsidP="0093025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b/>
          <w:color w:val="FF0000"/>
          <w:kern w:val="0"/>
          <w:szCs w:val="24"/>
        </w:rPr>
      </w:pPr>
      <w:bookmarkStart w:id="0" w:name="_GoBack"/>
      <w:r w:rsidRPr="003D6D3E">
        <w:rPr>
          <w:rFonts w:ascii="微軟正黑體" w:eastAsia="微軟正黑體" w:hAnsi="微軟正黑體" w:cs="Times New Roman"/>
          <w:b/>
          <w:color w:val="FF0000"/>
          <w:kern w:val="0"/>
          <w:szCs w:val="24"/>
        </w:rPr>
        <w:t>New Acetylene-Bridged 9,10-Conjugated Anthracene Sensitizers: Application in Outdoor and Indoor</w:t>
      </w:r>
      <w:r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 xml:space="preserve"> </w:t>
      </w:r>
      <w:r w:rsidRPr="003D6D3E">
        <w:rPr>
          <w:rFonts w:ascii="微軟正黑體" w:eastAsia="微軟正黑體" w:hAnsi="微軟正黑體" w:cs="Times New Roman"/>
          <w:b/>
          <w:color w:val="FF0000"/>
          <w:kern w:val="0"/>
          <w:szCs w:val="24"/>
        </w:rPr>
        <w:t>Dye-Sensitized Solar Cells</w:t>
      </w:r>
    </w:p>
    <w:p w:rsidR="00061418" w:rsidRPr="003D6D3E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b/>
          <w:color w:val="FF0000"/>
          <w:kern w:val="0"/>
          <w:szCs w:val="24"/>
        </w:rPr>
      </w:pPr>
    </w:p>
    <w:p w:rsidR="00061418" w:rsidRPr="003D6D3E" w:rsidRDefault="0093025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b/>
          <w:color w:val="FF0000"/>
          <w:kern w:val="0"/>
          <w:szCs w:val="24"/>
        </w:rPr>
      </w:pPr>
      <w:r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>新型蒽取代光敏劑：具</w:t>
      </w:r>
      <w:r w:rsidRPr="003D6D3E">
        <w:rPr>
          <w:rFonts w:ascii="微軟正黑體" w:eastAsia="微軟正黑體" w:hAnsi="微軟正黑體" w:cs="Times New Roman"/>
          <w:b/>
          <w:color w:val="FF0000"/>
          <w:kern w:val="0"/>
          <w:szCs w:val="24"/>
        </w:rPr>
        <w:t>9,10</w:t>
      </w:r>
      <w:r w:rsidR="00DA2B1B"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>-雙</w:t>
      </w:r>
      <w:r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>乙炔</w:t>
      </w:r>
      <w:r w:rsidR="00DA2B1B"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>橋接</w:t>
      </w:r>
      <w:r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>之蒽基染料</w:t>
      </w:r>
      <w:r w:rsidR="00DA2B1B"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>在</w:t>
      </w:r>
      <w:r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>染料敏化太陽能電池中的</w:t>
      </w:r>
      <w:r w:rsidR="00DA2B1B"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>室內外</w:t>
      </w:r>
      <w:r w:rsidRPr="003D6D3E">
        <w:rPr>
          <w:rFonts w:ascii="微軟正黑體" w:eastAsia="微軟正黑體" w:hAnsi="微軟正黑體" w:cs="Times New Roman" w:hint="eastAsia"/>
          <w:b/>
          <w:color w:val="FF0000"/>
          <w:kern w:val="0"/>
          <w:szCs w:val="24"/>
        </w:rPr>
        <w:t>應用</w:t>
      </w:r>
    </w:p>
    <w:p w:rsidR="00061418" w:rsidRPr="003D6D3E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b/>
          <w:color w:val="FF0000"/>
          <w:kern w:val="0"/>
          <w:szCs w:val="24"/>
        </w:rPr>
      </w:pPr>
    </w:p>
    <w:p w:rsidR="00061418" w:rsidRPr="003D6D3E" w:rsidRDefault="00DA2B1B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b/>
          <w:color w:val="FF0000"/>
          <w:kern w:val="0"/>
          <w:szCs w:val="24"/>
        </w:rPr>
      </w:pPr>
      <w:r w:rsidRPr="003D6D3E">
        <w:rPr>
          <w:rFonts w:ascii="微軟正黑體" w:eastAsia="微軟正黑體" w:hAnsi="微軟正黑體" w:cs="Times New Roman"/>
          <w:b/>
          <w:i/>
          <w:iCs/>
          <w:color w:val="FF0000"/>
          <w:kern w:val="0"/>
          <w:szCs w:val="24"/>
        </w:rPr>
        <w:t>Adv. Energy Mater.</w:t>
      </w:r>
      <w:r w:rsidRPr="003D6D3E">
        <w:rPr>
          <w:rFonts w:ascii="微軟正黑體" w:eastAsia="微軟正黑體" w:hAnsi="微軟正黑體" w:cs="Times New Roman"/>
          <w:b/>
          <w:iCs/>
          <w:color w:val="FF0000"/>
          <w:kern w:val="0"/>
          <w:szCs w:val="24"/>
        </w:rPr>
        <w:t xml:space="preserve">, 2017, </w:t>
      </w:r>
      <w:r w:rsidRPr="003D6D3E">
        <w:rPr>
          <w:rFonts w:ascii="微軟正黑體" w:eastAsia="微軟正黑體" w:hAnsi="微軟正黑體" w:cs="Times New Roman"/>
          <w:b/>
          <w:i/>
          <w:iCs/>
          <w:color w:val="FF0000"/>
          <w:kern w:val="0"/>
          <w:szCs w:val="24"/>
        </w:rPr>
        <w:t>7</w:t>
      </w:r>
      <w:r w:rsidRPr="003D6D3E">
        <w:rPr>
          <w:rFonts w:ascii="微軟正黑體" w:eastAsia="微軟正黑體" w:hAnsi="微軟正黑體" w:cs="Times New Roman"/>
          <w:b/>
          <w:iCs/>
          <w:color w:val="FF0000"/>
          <w:kern w:val="0"/>
          <w:szCs w:val="24"/>
        </w:rPr>
        <w:t>, 1700032</w:t>
      </w:r>
    </w:p>
    <w:bookmarkEnd w:id="0"/>
    <w:p w:rsidR="00061418" w:rsidRPr="009E0E4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9E0E47">
        <w:rPr>
          <w:rFonts w:ascii="微軟正黑體" w:eastAsia="微軟正黑體" w:hAnsi="微軟正黑體" w:cs="Times New Roman"/>
          <w:kern w:val="0"/>
          <w:szCs w:val="24"/>
        </w:rPr>
        <w:t xml:space="preserve">DOI: </w:t>
      </w:r>
      <w:r w:rsidR="00DA2B1B" w:rsidRPr="009E0E47">
        <w:rPr>
          <w:rFonts w:ascii="微軟正黑體" w:eastAsia="微軟正黑體" w:hAnsi="微軟正黑體" w:cs="Times New Roman"/>
          <w:kern w:val="0"/>
          <w:szCs w:val="24"/>
        </w:rPr>
        <w:t>10.1002/aenm.201700032</w:t>
      </w:r>
    </w:p>
    <w:p w:rsidR="00061418" w:rsidRPr="009E0E4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4914E8" w:rsidRPr="009E0E47" w:rsidRDefault="00DA2B1B" w:rsidP="00DA2B1B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9E0E47">
        <w:rPr>
          <w:rFonts w:ascii="微軟正黑體" w:eastAsia="微軟正黑體" w:hAnsi="微軟正黑體" w:cs="Times New Roman"/>
          <w:kern w:val="0"/>
          <w:szCs w:val="24"/>
        </w:rPr>
        <w:t>Yogesh S. Tingare,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Nguy</w:t>
      </w:r>
      <w:r w:rsidRPr="009E0E47">
        <w:rPr>
          <w:rFonts w:ascii="Calibri" w:eastAsia="微軟正黑體" w:hAnsi="Calibri" w:cs="Calibri"/>
          <w:kern w:val="0"/>
          <w:szCs w:val="24"/>
        </w:rPr>
        <w:t>ễ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n So'n Vinh,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Hsien-Hsin Chou,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Yu-Chieh Liu,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Yean-San Long,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Teng-Chun Wu,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Tzu-Chien Wei,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*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Chen-Yu Yeh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>*</w:t>
      </w:r>
    </w:p>
    <w:p w:rsidR="00061418" w:rsidRPr="009E0E47" w:rsidRDefault="00061418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061418" w:rsidRPr="009E0E47" w:rsidRDefault="00DA2B1B" w:rsidP="0087521C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9E0E47">
        <w:rPr>
          <w:rFonts w:ascii="微軟正黑體" w:eastAsia="微軟正黑體" w:hAnsi="微軟正黑體" w:cs="Times New Roman"/>
          <w:kern w:val="0"/>
          <w:szCs w:val="24"/>
        </w:rPr>
        <w:t>In this report, a pivotal improvement in the performance of dye-sensitized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 xml:space="preserve">solar cells </w:t>
      </w:r>
      <w:r w:rsidR="0087521C" w:rsidRPr="009E0E47">
        <w:rPr>
          <w:rFonts w:ascii="微軟正黑體" w:eastAsia="微軟正黑體" w:hAnsi="微軟正黑體" w:cs="Times New Roman" w:hint="eastAsia"/>
          <w:kern w:val="0"/>
          <w:szCs w:val="24"/>
        </w:rPr>
        <w:t>(DSC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</w:rPr>
        <w:t>s</w:t>
      </w:r>
      <w:r w:rsidR="0087521C"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)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has been achieved, thus taking it one step closer toward the commercialization.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</w:rPr>
        <w:t xml:space="preserve">Judicious molecular design and synthesis of new metal free anthracene-based sensitizers resulted in DSCs exhibiting excellent sensitizing capability and cell performance. We obtained these dyes by using simple, convergent, and relatively short synthetic route, which are amenable to large-scale production. The </w:t>
      </w:r>
      <w:r w:rsidR="009E0E47" w:rsidRPr="009E0E47">
        <w:rPr>
          <w:rFonts w:ascii="微軟正黑體" w:eastAsia="微軟正黑體" w:hAnsi="微軟正黑體" w:cs="Times New Roman"/>
          <w:kern w:val="0"/>
          <w:szCs w:val="24"/>
        </w:rPr>
        <w:t>substitution of a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</w:rPr>
        <w:t xml:space="preserve">lkoxy chains and electron deficient </w:t>
      </w:r>
      <w:r w:rsidR="009E0E47" w:rsidRPr="009E0E47">
        <w:rPr>
          <w:rFonts w:ascii="微軟正黑體" w:eastAsia="微軟正黑體" w:hAnsi="微軟正黑體" w:cs="Times New Roman"/>
          <w:kern w:val="0"/>
          <w:szCs w:val="24"/>
        </w:rPr>
        <w:t xml:space="preserve">benzotriazole 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</w:rPr>
        <w:t>moiety</w:t>
      </w:r>
      <w:r w:rsidR="009E0E47" w:rsidRPr="009E0E47">
        <w:rPr>
          <w:rFonts w:ascii="微軟正黑體" w:eastAsia="微軟正黑體" w:hAnsi="微軟正黑體" w:cs="Times New Roman"/>
          <w:kern w:val="0"/>
          <w:szCs w:val="24"/>
        </w:rPr>
        <w:t xml:space="preserve"> in the π-conjugation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</w:rPr>
        <w:t xml:space="preserve"> indicates the importance of molecular design for tuning sensitizers to produce high efficiency DSSCs. </w:t>
      </w:r>
      <w:r w:rsidR="00FF008F">
        <w:rPr>
          <w:rFonts w:ascii="微軟正黑體" w:eastAsia="微軟正黑體" w:hAnsi="微軟正黑體" w:cs="Times New Roman"/>
          <w:kern w:val="0"/>
          <w:szCs w:val="24"/>
        </w:rPr>
        <w:t>Of the most important, t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 xml:space="preserve">he dye </w:t>
      </w:r>
      <w:r w:rsidRPr="009E0E47">
        <w:rPr>
          <w:rFonts w:ascii="微軟正黑體" w:eastAsia="微軟正黑體" w:hAnsi="微軟正黑體" w:cs="Times New Roman"/>
          <w:b/>
          <w:kern w:val="0"/>
          <w:szCs w:val="24"/>
        </w:rPr>
        <w:t>TY6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>,</w:t>
      </w:r>
      <w:r w:rsidRPr="009E0E4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 xml:space="preserve">when tested under 1 </w:t>
      </w:r>
      <w:r w:rsidR="0087521C" w:rsidRPr="009E0E47">
        <w:rPr>
          <w:rFonts w:ascii="微軟正黑體" w:eastAsia="微軟正黑體" w:hAnsi="微軟正黑體" w:cs="Times New Roman" w:hint="eastAsia"/>
          <w:kern w:val="0"/>
          <w:szCs w:val="24"/>
        </w:rPr>
        <w:t>S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 xml:space="preserve">un (AM 1.5G) illumination, is found to exhibit efficiency </w:t>
      </w:r>
      <w:r w:rsidR="00FF008F">
        <w:rPr>
          <w:rFonts w:ascii="微軟正黑體" w:eastAsia="微軟正黑體" w:hAnsi="微軟正黑體" w:cs="Times New Roman"/>
          <w:kern w:val="0"/>
          <w:szCs w:val="24"/>
        </w:rPr>
        <w:t>as high as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 xml:space="preserve"> 8.08%. 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</w:rPr>
        <w:t xml:space="preserve">When subjected to weak light illumination, sensitizer </w:t>
      </w:r>
      <w:r w:rsidR="0087521C" w:rsidRPr="00FF008F">
        <w:rPr>
          <w:rFonts w:ascii="微軟正黑體" w:eastAsia="微軟正黑體" w:hAnsi="微軟正黑體" w:cs="Times New Roman"/>
          <w:b/>
          <w:kern w:val="0"/>
          <w:szCs w:val="24"/>
        </w:rPr>
        <w:t>TY6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</w:rPr>
        <w:t xml:space="preserve"> displayed outstanding efficiency of 20.72% and 28.56% under 6,000 lux of commercially available LED and T5 fluorescent light sources, respectively</w:t>
      </w:r>
      <w:r w:rsidRPr="009E0E47">
        <w:rPr>
          <w:rFonts w:ascii="微軟正黑體" w:eastAsia="微軟正黑體" w:hAnsi="微軟正黑體" w:cs="Times New Roman"/>
          <w:kern w:val="0"/>
          <w:szCs w:val="24"/>
        </w:rPr>
        <w:t xml:space="preserve">. 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</w:rPr>
        <w:t>The 28.56% efficiency under T5 irradiance is highest among any dyes reported till date. Such extraordinary performance is due to its high V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  <w:vertAlign w:val="subscript"/>
        </w:rPr>
        <w:t>OC</w:t>
      </w:r>
      <w:r w:rsidR="0087521C" w:rsidRPr="009E0E47">
        <w:rPr>
          <w:rFonts w:ascii="微軟正黑體" w:eastAsia="微軟正黑體" w:hAnsi="微軟正黑體" w:cs="Times New Roman"/>
          <w:kern w:val="0"/>
          <w:szCs w:val="24"/>
        </w:rPr>
        <w:t xml:space="preserve"> over 0.6 V even under 300 lux dim light and matching of its UV–vis profile to that of the T5 light source. </w:t>
      </w:r>
    </w:p>
    <w:p w:rsidR="0087521C" w:rsidRPr="009E0E47" w:rsidRDefault="0087521C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:rsidR="005E5AFA" w:rsidRPr="009E0E47" w:rsidRDefault="00A53963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  <w:r w:rsidRPr="00A53963">
        <w:rPr>
          <w:rFonts w:ascii="微軟正黑體" w:eastAsia="微軟正黑體" w:hAnsi="微軟正黑體" w:cs="Times New Roman" w:hint="eastAsia"/>
          <w:szCs w:val="24"/>
        </w:rPr>
        <w:t>在</w:t>
      </w:r>
      <w:r>
        <w:rPr>
          <w:rFonts w:ascii="微軟正黑體" w:eastAsia="微軟正黑體" w:hAnsi="微軟正黑體" w:cs="Times New Roman" w:hint="eastAsia"/>
          <w:szCs w:val="24"/>
        </w:rPr>
        <w:t>本研究</w:t>
      </w:r>
      <w:r w:rsidRPr="00A53963">
        <w:rPr>
          <w:rFonts w:ascii="微軟正黑體" w:eastAsia="微軟正黑體" w:hAnsi="微軟正黑體" w:cs="Times New Roman" w:hint="eastAsia"/>
          <w:szCs w:val="24"/>
        </w:rPr>
        <w:t>中，染料敏化太陽能電池（</w:t>
      </w:r>
      <w:r w:rsidRPr="00A53963">
        <w:rPr>
          <w:rFonts w:ascii="微軟正黑體" w:eastAsia="微軟正黑體" w:hAnsi="微軟正黑體" w:cs="Times New Roman"/>
          <w:szCs w:val="24"/>
        </w:rPr>
        <w:t>DSC</w:t>
      </w:r>
      <w:r w:rsidRPr="00A53963">
        <w:rPr>
          <w:rFonts w:ascii="微軟正黑體" w:eastAsia="微軟正黑體" w:hAnsi="微軟正黑體" w:cs="Times New Roman" w:hint="eastAsia"/>
          <w:szCs w:val="24"/>
        </w:rPr>
        <w:t>）的</w:t>
      </w:r>
      <w:r>
        <w:rPr>
          <w:rFonts w:ascii="微軟正黑體" w:eastAsia="微軟正黑體" w:hAnsi="微軟正黑體" w:cs="Times New Roman" w:hint="eastAsia"/>
          <w:szCs w:val="24"/>
        </w:rPr>
        <w:t>研究有</w:t>
      </w:r>
      <w:r w:rsidRPr="00A53963">
        <w:rPr>
          <w:rFonts w:ascii="微軟正黑體" w:eastAsia="微軟正黑體" w:hAnsi="微軟正黑體" w:cs="Times New Roman" w:hint="eastAsia"/>
          <w:szCs w:val="24"/>
        </w:rPr>
        <w:t>了</w:t>
      </w:r>
      <w:r>
        <w:rPr>
          <w:rFonts w:ascii="微軟正黑體" w:eastAsia="微軟正黑體" w:hAnsi="微軟正黑體" w:cs="Times New Roman" w:hint="eastAsia"/>
          <w:szCs w:val="24"/>
        </w:rPr>
        <w:t>極</w:t>
      </w:r>
      <w:r w:rsidRPr="00A53963">
        <w:rPr>
          <w:rFonts w:ascii="微軟正黑體" w:eastAsia="微軟正黑體" w:hAnsi="微軟正黑體" w:cs="Times New Roman" w:hint="eastAsia"/>
          <w:szCs w:val="24"/>
        </w:rPr>
        <w:t>關鍵的</w:t>
      </w:r>
      <w:r>
        <w:rPr>
          <w:rFonts w:ascii="微軟正黑體" w:eastAsia="微軟正黑體" w:hAnsi="微軟正黑體" w:cs="Times New Roman" w:hint="eastAsia"/>
          <w:szCs w:val="24"/>
        </w:rPr>
        <w:t>突破</w:t>
      </w:r>
      <w:r w:rsidRPr="00A53963">
        <w:rPr>
          <w:rFonts w:ascii="微軟正黑體" w:eastAsia="微軟正黑體" w:hAnsi="微軟正黑體" w:cs="Times New Roman" w:hint="eastAsia"/>
          <w:szCs w:val="24"/>
        </w:rPr>
        <w:t>，</w:t>
      </w:r>
      <w:r>
        <w:rPr>
          <w:rFonts w:ascii="微軟正黑體" w:eastAsia="微軟正黑體" w:hAnsi="微軟正黑體" w:cs="Times New Roman" w:hint="eastAsia"/>
          <w:szCs w:val="24"/>
        </w:rPr>
        <w:t>使染敏電池之</w:t>
      </w:r>
      <w:r w:rsidRPr="00A53963">
        <w:rPr>
          <w:rFonts w:ascii="微軟正黑體" w:eastAsia="微軟正黑體" w:hAnsi="微軟正黑體" w:cs="Times New Roman" w:hint="eastAsia"/>
          <w:szCs w:val="24"/>
        </w:rPr>
        <w:t>商業化</w:t>
      </w:r>
      <w:r>
        <w:rPr>
          <w:rFonts w:ascii="微軟正黑體" w:eastAsia="微軟正黑體" w:hAnsi="微軟正黑體" w:cs="Times New Roman" w:hint="eastAsia"/>
          <w:szCs w:val="24"/>
        </w:rPr>
        <w:t>應用又</w:t>
      </w:r>
      <w:r w:rsidRPr="00A53963">
        <w:rPr>
          <w:rFonts w:ascii="微軟正黑體" w:eastAsia="微軟正黑體" w:hAnsi="微軟正黑體" w:cs="Times New Roman" w:hint="eastAsia"/>
          <w:szCs w:val="24"/>
        </w:rPr>
        <w:t>邁進了一</w:t>
      </w:r>
      <w:r>
        <w:rPr>
          <w:rFonts w:ascii="微軟正黑體" w:eastAsia="微軟正黑體" w:hAnsi="微軟正黑體" w:cs="Times New Roman" w:hint="eastAsia"/>
          <w:szCs w:val="24"/>
        </w:rPr>
        <w:t>大</w:t>
      </w:r>
      <w:r w:rsidRPr="00A53963">
        <w:rPr>
          <w:rFonts w:ascii="微軟正黑體" w:eastAsia="微軟正黑體" w:hAnsi="微軟正黑體" w:cs="Times New Roman" w:hint="eastAsia"/>
          <w:szCs w:val="24"/>
        </w:rPr>
        <w:t>步。</w:t>
      </w:r>
      <w:r>
        <w:rPr>
          <w:rFonts w:ascii="微軟正黑體" w:eastAsia="微軟正黑體" w:hAnsi="微軟正黑體" w:cs="Times New Roman" w:hint="eastAsia"/>
          <w:szCs w:val="24"/>
        </w:rPr>
        <w:t>藉由</w:t>
      </w:r>
      <w:r w:rsidRPr="00A53963">
        <w:rPr>
          <w:rFonts w:ascii="微軟正黑體" w:eastAsia="微軟正黑體" w:hAnsi="微軟正黑體" w:cs="Times New Roman" w:hint="eastAsia"/>
          <w:szCs w:val="24"/>
        </w:rPr>
        <w:t>明智的分子設計</w:t>
      </w:r>
      <w:r>
        <w:rPr>
          <w:rFonts w:ascii="微軟正黑體" w:eastAsia="微軟正黑體" w:hAnsi="微軟正黑體" w:cs="Times New Roman" w:hint="eastAsia"/>
          <w:szCs w:val="24"/>
        </w:rPr>
        <w:t>，我們</w:t>
      </w:r>
      <w:r w:rsidRPr="00A53963">
        <w:rPr>
          <w:rFonts w:ascii="微軟正黑體" w:eastAsia="微軟正黑體" w:hAnsi="微軟正黑體" w:cs="Times New Roman" w:hint="eastAsia"/>
          <w:szCs w:val="24"/>
        </w:rPr>
        <w:t>合成</w:t>
      </w:r>
      <w:r>
        <w:rPr>
          <w:rFonts w:ascii="微軟正黑體" w:eastAsia="微軟正黑體" w:hAnsi="微軟正黑體" w:cs="Times New Roman" w:hint="eastAsia"/>
          <w:szCs w:val="24"/>
        </w:rPr>
        <w:t>出全</w:t>
      </w:r>
      <w:r w:rsidRPr="00A53963">
        <w:rPr>
          <w:rFonts w:ascii="微軟正黑體" w:eastAsia="微軟正黑體" w:hAnsi="微軟正黑體" w:cs="Times New Roman" w:hint="eastAsia"/>
          <w:szCs w:val="24"/>
        </w:rPr>
        <w:t>新</w:t>
      </w:r>
      <w:r>
        <w:rPr>
          <w:rFonts w:ascii="微軟正黑體" w:eastAsia="微軟正黑體" w:hAnsi="微軟正黑體" w:cs="Times New Roman" w:hint="eastAsia"/>
          <w:szCs w:val="24"/>
        </w:rPr>
        <w:t>不含金屬的</w:t>
      </w:r>
      <w:r w:rsidRPr="00A53963">
        <w:rPr>
          <w:rFonts w:ascii="微軟正黑體" w:eastAsia="微軟正黑體" w:hAnsi="微軟正黑體" w:cs="Times New Roman" w:hint="eastAsia"/>
          <w:szCs w:val="24"/>
        </w:rPr>
        <w:t>蒽基</w:t>
      </w:r>
      <w:r>
        <w:rPr>
          <w:rFonts w:ascii="微軟正黑體" w:eastAsia="微軟正黑體" w:hAnsi="微軟正黑體" w:cs="Times New Roman" w:hint="eastAsia"/>
          <w:szCs w:val="24"/>
        </w:rPr>
        <w:t>光</w:t>
      </w:r>
      <w:r w:rsidRPr="00A53963">
        <w:rPr>
          <w:rFonts w:ascii="微軟正黑體" w:eastAsia="微軟正黑體" w:hAnsi="微軟正黑體" w:cs="Times New Roman" w:hint="eastAsia"/>
          <w:szCs w:val="24"/>
        </w:rPr>
        <w:t>敏化劑</w:t>
      </w:r>
      <w:r>
        <w:rPr>
          <w:rFonts w:ascii="微軟正黑體" w:eastAsia="微軟正黑體" w:hAnsi="微軟正黑體" w:cs="Times New Roman" w:hint="eastAsia"/>
          <w:szCs w:val="24"/>
        </w:rPr>
        <w:t>，並證實其擁有</w:t>
      </w:r>
      <w:r w:rsidRPr="00A53963">
        <w:rPr>
          <w:rFonts w:ascii="微軟正黑體" w:eastAsia="微軟正黑體" w:hAnsi="微軟正黑體" w:cs="Times New Roman" w:hint="eastAsia"/>
          <w:szCs w:val="24"/>
        </w:rPr>
        <w:t>優異的</w:t>
      </w:r>
      <w:r>
        <w:rPr>
          <w:rFonts w:ascii="微軟正黑體" w:eastAsia="微軟正黑體" w:hAnsi="微軟正黑體" w:cs="Times New Roman" w:hint="eastAsia"/>
          <w:szCs w:val="24"/>
        </w:rPr>
        <w:t>光</w:t>
      </w:r>
      <w:r w:rsidRPr="00A53963">
        <w:rPr>
          <w:rFonts w:ascii="微軟正黑體" w:eastAsia="微軟正黑體" w:hAnsi="微軟正黑體" w:cs="Times New Roman" w:hint="eastAsia"/>
          <w:szCs w:val="24"/>
        </w:rPr>
        <w:t>敏化能力和</w:t>
      </w:r>
      <w:r>
        <w:rPr>
          <w:rFonts w:ascii="微軟正黑體" w:eastAsia="微軟正黑體" w:hAnsi="微軟正黑體" w:cs="Times New Roman" w:hint="eastAsia"/>
          <w:szCs w:val="24"/>
        </w:rPr>
        <w:t>染敏電池性能。我們透過較</w:t>
      </w:r>
      <w:r w:rsidRPr="00A53963">
        <w:rPr>
          <w:rFonts w:ascii="微軟正黑體" w:eastAsia="微軟正黑體" w:hAnsi="微軟正黑體" w:cs="Times New Roman" w:hint="eastAsia"/>
          <w:szCs w:val="24"/>
        </w:rPr>
        <w:t>簡單</w:t>
      </w:r>
      <w:r>
        <w:rPr>
          <w:rFonts w:ascii="微軟正黑體" w:eastAsia="微軟正黑體" w:hAnsi="微軟正黑體" w:cs="Times New Roman" w:hint="eastAsia"/>
          <w:szCs w:val="24"/>
        </w:rPr>
        <w:t>、一致和較少步驟的設計來合成</w:t>
      </w:r>
      <w:r w:rsidRPr="00A53963">
        <w:rPr>
          <w:rFonts w:ascii="微軟正黑體" w:eastAsia="微軟正黑體" w:hAnsi="微軟正黑體" w:cs="Times New Roman" w:hint="eastAsia"/>
          <w:szCs w:val="24"/>
        </w:rPr>
        <w:t>這些染料，</w:t>
      </w:r>
      <w:r>
        <w:rPr>
          <w:rFonts w:ascii="微軟正黑體" w:eastAsia="微軟正黑體" w:hAnsi="微軟正黑體" w:cs="Times New Roman" w:hint="eastAsia"/>
          <w:szCs w:val="24"/>
        </w:rPr>
        <w:t>使其有利於未來之大規模量</w:t>
      </w:r>
      <w:r w:rsidRPr="00A53963">
        <w:rPr>
          <w:rFonts w:ascii="微軟正黑體" w:eastAsia="微軟正黑體" w:hAnsi="微軟正黑體" w:cs="Times New Roman" w:hint="eastAsia"/>
          <w:szCs w:val="24"/>
        </w:rPr>
        <w:t>產。</w:t>
      </w:r>
      <w:r w:rsidR="0071216B">
        <w:rPr>
          <w:rFonts w:ascii="微軟正黑體" w:eastAsia="微軟正黑體" w:hAnsi="微軟正黑體" w:cs="Times New Roman" w:hint="eastAsia"/>
          <w:szCs w:val="24"/>
        </w:rPr>
        <w:t>同時，此系列高效率染料結構中所具有之</w:t>
      </w:r>
      <w:r w:rsidRPr="00A53963">
        <w:rPr>
          <w:rFonts w:ascii="微軟正黑體" w:eastAsia="微軟正黑體" w:hAnsi="微軟正黑體" w:cs="Times New Roman"/>
          <w:szCs w:val="24"/>
        </w:rPr>
        <w:t>π-</w:t>
      </w:r>
      <w:r w:rsidRPr="00A53963">
        <w:rPr>
          <w:rFonts w:ascii="微軟正黑體" w:eastAsia="微軟正黑體" w:hAnsi="微軟正黑體" w:cs="Times New Roman" w:hint="eastAsia"/>
          <w:szCs w:val="24"/>
        </w:rPr>
        <w:t>共軛中的烷氧基和苯</w:t>
      </w:r>
      <w:r w:rsidR="0071216B">
        <w:rPr>
          <w:rFonts w:ascii="微軟正黑體" w:eastAsia="微軟正黑體" w:hAnsi="微軟正黑體" w:cs="Times New Roman" w:hint="eastAsia"/>
          <w:szCs w:val="24"/>
        </w:rPr>
        <w:t>併</w:t>
      </w:r>
      <w:r w:rsidRPr="00A53963">
        <w:rPr>
          <w:rFonts w:ascii="微軟正黑體" w:eastAsia="微軟正黑體" w:hAnsi="微軟正黑體" w:cs="Times New Roman" w:hint="eastAsia"/>
          <w:szCs w:val="24"/>
        </w:rPr>
        <w:t>三唑</w:t>
      </w:r>
      <w:r w:rsidR="0071216B" w:rsidRPr="00A53963">
        <w:rPr>
          <w:rFonts w:ascii="微軟正黑體" w:eastAsia="微軟正黑體" w:hAnsi="微軟正黑體" w:cs="Times New Roman" w:hint="eastAsia"/>
          <w:szCs w:val="24"/>
        </w:rPr>
        <w:t>缺電子</w:t>
      </w:r>
      <w:r w:rsidR="0071216B">
        <w:rPr>
          <w:rFonts w:ascii="微軟正黑體" w:eastAsia="微軟正黑體" w:hAnsi="微軟正黑體" w:cs="Times New Roman" w:hint="eastAsia"/>
          <w:szCs w:val="24"/>
        </w:rPr>
        <w:t>基團，也證實與染敏電池的高效率息息相關，並凸顯出</w:t>
      </w:r>
      <w:r w:rsidRPr="00A53963">
        <w:rPr>
          <w:rFonts w:ascii="微軟正黑體" w:eastAsia="微軟正黑體" w:hAnsi="微軟正黑體" w:cs="Times New Roman" w:hint="eastAsia"/>
          <w:szCs w:val="24"/>
        </w:rPr>
        <w:t>分子設計的重要性。最重要的是，當在</w:t>
      </w:r>
      <w:r w:rsidRPr="00A53963">
        <w:rPr>
          <w:rFonts w:ascii="微軟正黑體" w:eastAsia="微軟正黑體" w:hAnsi="微軟正黑體" w:cs="Times New Roman"/>
          <w:szCs w:val="24"/>
        </w:rPr>
        <w:t>1 Sun</w:t>
      </w:r>
      <w:r w:rsidRPr="00A53963">
        <w:rPr>
          <w:rFonts w:ascii="微軟正黑體" w:eastAsia="微軟正黑體" w:hAnsi="微軟正黑體" w:cs="Times New Roman" w:hint="eastAsia"/>
          <w:szCs w:val="24"/>
        </w:rPr>
        <w:t>（</w:t>
      </w:r>
      <w:r w:rsidRPr="00A53963">
        <w:rPr>
          <w:rFonts w:ascii="微軟正黑體" w:eastAsia="微軟正黑體" w:hAnsi="微軟正黑體" w:cs="Times New Roman"/>
          <w:szCs w:val="24"/>
        </w:rPr>
        <w:t>AM 1.5G</w:t>
      </w:r>
      <w:r w:rsidRPr="00A53963">
        <w:rPr>
          <w:rFonts w:ascii="微軟正黑體" w:eastAsia="微軟正黑體" w:hAnsi="微軟正黑體" w:cs="Times New Roman" w:hint="eastAsia"/>
          <w:szCs w:val="24"/>
        </w:rPr>
        <w:t>）</w:t>
      </w:r>
      <w:r w:rsidR="0071216B">
        <w:rPr>
          <w:rFonts w:ascii="微軟正黑體" w:eastAsia="微軟正黑體" w:hAnsi="微軟正黑體" w:cs="Times New Roman" w:hint="eastAsia"/>
          <w:szCs w:val="24"/>
        </w:rPr>
        <w:t>之光照條件</w:t>
      </w:r>
      <w:r w:rsidRPr="00A53963">
        <w:rPr>
          <w:rFonts w:ascii="微軟正黑體" w:eastAsia="微軟正黑體" w:hAnsi="微軟正黑體" w:cs="Times New Roman" w:hint="eastAsia"/>
          <w:szCs w:val="24"/>
        </w:rPr>
        <w:t>下測試時，染料</w:t>
      </w:r>
      <w:r w:rsidRPr="0071216B">
        <w:rPr>
          <w:rFonts w:ascii="微軟正黑體" w:eastAsia="微軟正黑體" w:hAnsi="微軟正黑體" w:cs="Times New Roman"/>
          <w:b/>
          <w:szCs w:val="24"/>
        </w:rPr>
        <w:t>TY6</w:t>
      </w:r>
      <w:r w:rsidR="0071216B">
        <w:rPr>
          <w:rFonts w:ascii="微軟正黑體" w:eastAsia="微軟正黑體" w:hAnsi="微軟正黑體" w:cs="Times New Roman" w:hint="eastAsia"/>
          <w:szCs w:val="24"/>
        </w:rPr>
        <w:t>的光電轉換</w:t>
      </w:r>
      <w:r w:rsidRPr="00A53963">
        <w:rPr>
          <w:rFonts w:ascii="微軟正黑體" w:eastAsia="微軟正黑體" w:hAnsi="微軟正黑體" w:cs="Times New Roman" w:hint="eastAsia"/>
          <w:szCs w:val="24"/>
        </w:rPr>
        <w:t>效率高達</w:t>
      </w:r>
      <w:r w:rsidRPr="00A53963">
        <w:rPr>
          <w:rFonts w:ascii="微軟正黑體" w:eastAsia="微軟正黑體" w:hAnsi="微軟正黑體" w:cs="Times New Roman"/>
          <w:szCs w:val="24"/>
        </w:rPr>
        <w:t>8.08</w:t>
      </w:r>
      <w:r w:rsidRPr="00A53963">
        <w:rPr>
          <w:rFonts w:ascii="微軟正黑體" w:eastAsia="微軟正黑體" w:hAnsi="微軟正黑體" w:cs="Times New Roman" w:hint="eastAsia"/>
          <w:szCs w:val="24"/>
        </w:rPr>
        <w:t>％。</w:t>
      </w:r>
      <w:r w:rsidR="0071216B">
        <w:rPr>
          <w:rFonts w:ascii="微軟正黑體" w:eastAsia="微軟正黑體" w:hAnsi="微軟正黑體" w:cs="Times New Roman" w:hint="eastAsia"/>
          <w:szCs w:val="24"/>
        </w:rPr>
        <w:t>而於</w:t>
      </w:r>
      <w:r w:rsidRPr="00A53963">
        <w:rPr>
          <w:rFonts w:ascii="微軟正黑體" w:eastAsia="微軟正黑體" w:hAnsi="微軟正黑體" w:cs="Times New Roman" w:hint="eastAsia"/>
          <w:szCs w:val="24"/>
        </w:rPr>
        <w:t>弱光照</w:t>
      </w:r>
      <w:r w:rsidR="0071216B">
        <w:rPr>
          <w:rFonts w:ascii="微軟正黑體" w:eastAsia="微軟正黑體" w:hAnsi="微軟正黑體" w:cs="Times New Roman" w:hint="eastAsia"/>
          <w:szCs w:val="24"/>
        </w:rPr>
        <w:t>射條件下</w:t>
      </w:r>
      <w:r w:rsidRPr="00A53963">
        <w:rPr>
          <w:rFonts w:ascii="微軟正黑體" w:eastAsia="微軟正黑體" w:hAnsi="微軟正黑體" w:cs="Times New Roman" w:hint="eastAsia"/>
          <w:szCs w:val="24"/>
        </w:rPr>
        <w:t>，在</w:t>
      </w:r>
      <w:r w:rsidRPr="00A53963">
        <w:rPr>
          <w:rFonts w:ascii="微軟正黑體" w:eastAsia="微軟正黑體" w:hAnsi="微軟正黑體" w:cs="Times New Roman"/>
          <w:szCs w:val="24"/>
        </w:rPr>
        <w:t>6,000</w:t>
      </w:r>
      <w:r w:rsidR="0071216B">
        <w:rPr>
          <w:rFonts w:ascii="微軟正黑體" w:eastAsia="微軟正黑體" w:hAnsi="微軟正黑體" w:cs="Times New Roman"/>
          <w:szCs w:val="24"/>
        </w:rPr>
        <w:t xml:space="preserve"> lux</w:t>
      </w:r>
      <w:r w:rsidRPr="00A53963">
        <w:rPr>
          <w:rFonts w:ascii="微軟正黑體" w:eastAsia="微軟正黑體" w:hAnsi="微軟正黑體" w:cs="Times New Roman" w:hint="eastAsia"/>
          <w:szCs w:val="24"/>
        </w:rPr>
        <w:t>的市售</w:t>
      </w:r>
      <w:r w:rsidRPr="00A53963">
        <w:rPr>
          <w:rFonts w:ascii="微軟正黑體" w:eastAsia="微軟正黑體" w:hAnsi="微軟正黑體" w:cs="Times New Roman"/>
          <w:szCs w:val="24"/>
        </w:rPr>
        <w:t>LED</w:t>
      </w:r>
      <w:r w:rsidR="0071216B">
        <w:rPr>
          <w:rFonts w:ascii="微軟正黑體" w:eastAsia="微軟正黑體" w:hAnsi="微軟正黑體" w:cs="Times New Roman" w:hint="eastAsia"/>
          <w:szCs w:val="24"/>
        </w:rPr>
        <w:t>燈</w:t>
      </w:r>
      <w:r w:rsidRPr="00A53963">
        <w:rPr>
          <w:rFonts w:ascii="微軟正黑體" w:eastAsia="微軟正黑體" w:hAnsi="微軟正黑體" w:cs="Times New Roman" w:hint="eastAsia"/>
          <w:szCs w:val="24"/>
        </w:rPr>
        <w:t>和</w:t>
      </w:r>
      <w:r w:rsidRPr="00A53963">
        <w:rPr>
          <w:rFonts w:ascii="微軟正黑體" w:eastAsia="微軟正黑體" w:hAnsi="微軟正黑體" w:cs="Times New Roman"/>
          <w:szCs w:val="24"/>
        </w:rPr>
        <w:t>T5</w:t>
      </w:r>
      <w:r w:rsidR="0071216B">
        <w:rPr>
          <w:rFonts w:ascii="微軟正黑體" w:eastAsia="微軟正黑體" w:hAnsi="微軟正黑體" w:cs="Times New Roman" w:hint="eastAsia"/>
          <w:szCs w:val="24"/>
        </w:rPr>
        <w:t>螢光燈</w:t>
      </w:r>
      <w:r w:rsidRPr="00A53963">
        <w:rPr>
          <w:rFonts w:ascii="微軟正黑體" w:eastAsia="微軟正黑體" w:hAnsi="微軟正黑體" w:cs="Times New Roman" w:hint="eastAsia"/>
          <w:szCs w:val="24"/>
        </w:rPr>
        <w:t>光源下，</w:t>
      </w:r>
      <w:r w:rsidR="0071216B">
        <w:rPr>
          <w:rFonts w:ascii="微軟正黑體" w:eastAsia="微軟正黑體" w:hAnsi="微軟正黑體" w:cs="Times New Roman" w:hint="eastAsia"/>
          <w:szCs w:val="24"/>
        </w:rPr>
        <w:t>光</w:t>
      </w:r>
      <w:r w:rsidRPr="00A53963">
        <w:rPr>
          <w:rFonts w:ascii="微軟正黑體" w:eastAsia="微軟正黑體" w:hAnsi="微軟正黑體" w:cs="Times New Roman" w:hint="eastAsia"/>
          <w:szCs w:val="24"/>
        </w:rPr>
        <w:t>敏化劑</w:t>
      </w:r>
      <w:r w:rsidRPr="0071216B">
        <w:rPr>
          <w:rFonts w:ascii="微軟正黑體" w:eastAsia="微軟正黑體" w:hAnsi="微軟正黑體" w:cs="Times New Roman" w:hint="eastAsia"/>
          <w:b/>
          <w:szCs w:val="24"/>
        </w:rPr>
        <w:t>TY6</w:t>
      </w:r>
      <w:r w:rsidRPr="00A53963">
        <w:rPr>
          <w:rFonts w:ascii="微軟正黑體" w:eastAsia="微軟正黑體" w:hAnsi="微軟正黑體" w:cs="Times New Roman" w:hint="eastAsia"/>
          <w:szCs w:val="24"/>
        </w:rPr>
        <w:t>分別顯示出20.72％和28.56％的卓越</w:t>
      </w:r>
      <w:r w:rsidR="0071216B">
        <w:rPr>
          <w:rFonts w:ascii="微軟正黑體" w:eastAsia="微軟正黑體" w:hAnsi="微軟正黑體" w:cs="Times New Roman" w:hint="eastAsia"/>
          <w:szCs w:val="24"/>
        </w:rPr>
        <w:t>轉換</w:t>
      </w:r>
      <w:r w:rsidRPr="00A53963">
        <w:rPr>
          <w:rFonts w:ascii="微軟正黑體" w:eastAsia="微軟正黑體" w:hAnsi="微軟正黑體" w:cs="Times New Roman" w:hint="eastAsia"/>
          <w:szCs w:val="24"/>
        </w:rPr>
        <w:t>效率。</w:t>
      </w:r>
      <w:r w:rsidR="0071216B">
        <w:rPr>
          <w:rFonts w:ascii="微軟正黑體" w:eastAsia="微軟正黑體" w:hAnsi="微軟正黑體" w:cs="Times New Roman" w:hint="eastAsia"/>
          <w:szCs w:val="24"/>
        </w:rPr>
        <w:t>此</w:t>
      </w:r>
      <w:r w:rsidRPr="00A53963">
        <w:rPr>
          <w:rFonts w:ascii="微軟正黑體" w:eastAsia="微軟正黑體" w:hAnsi="微軟正黑體" w:cs="Times New Roman" w:hint="eastAsia"/>
          <w:szCs w:val="24"/>
        </w:rPr>
        <w:t>28.56％的</w:t>
      </w:r>
      <w:r w:rsidR="0071216B">
        <w:rPr>
          <w:rFonts w:ascii="微軟正黑體" w:eastAsia="微軟正黑體" w:hAnsi="微軟正黑體" w:cs="Times New Roman" w:hint="eastAsia"/>
          <w:szCs w:val="24"/>
        </w:rPr>
        <w:t>超高效率在當時所見之文獻</w:t>
      </w:r>
      <w:r w:rsidRPr="00A53963">
        <w:rPr>
          <w:rFonts w:ascii="微軟正黑體" w:eastAsia="微軟正黑體" w:hAnsi="微軟正黑體" w:cs="Times New Roman" w:hint="eastAsia"/>
          <w:szCs w:val="24"/>
        </w:rPr>
        <w:t>報導</w:t>
      </w:r>
      <w:r w:rsidR="0071216B">
        <w:rPr>
          <w:rFonts w:ascii="微軟正黑體" w:eastAsia="微軟正黑體" w:hAnsi="微軟正黑體" w:cs="Times New Roman" w:hint="eastAsia"/>
          <w:szCs w:val="24"/>
        </w:rPr>
        <w:t>中，為所有染料最高。這種非凡的性能歸功於</w:t>
      </w:r>
      <w:r w:rsidR="0071216B" w:rsidRPr="0071216B">
        <w:rPr>
          <w:rFonts w:ascii="微軟正黑體" w:eastAsia="微軟正黑體" w:hAnsi="微軟正黑體" w:cs="Times New Roman" w:hint="eastAsia"/>
          <w:b/>
          <w:szCs w:val="24"/>
        </w:rPr>
        <w:t>TY6</w:t>
      </w:r>
      <w:r w:rsidR="0071216B">
        <w:rPr>
          <w:rFonts w:ascii="微軟正黑體" w:eastAsia="微軟正黑體" w:hAnsi="微軟正黑體" w:cs="Times New Roman" w:hint="eastAsia"/>
          <w:szCs w:val="24"/>
        </w:rPr>
        <w:t>染料</w:t>
      </w:r>
      <w:r w:rsidR="0071216B" w:rsidRPr="00A53963">
        <w:rPr>
          <w:rFonts w:ascii="微軟正黑體" w:eastAsia="微軟正黑體" w:hAnsi="微軟正黑體" w:cs="Times New Roman" w:hint="eastAsia"/>
          <w:szCs w:val="24"/>
        </w:rPr>
        <w:t>與T5光源</w:t>
      </w:r>
      <w:r w:rsidR="0071216B">
        <w:rPr>
          <w:rFonts w:ascii="微軟正黑體" w:eastAsia="微軟正黑體" w:hAnsi="微軟正黑體" w:cs="Times New Roman" w:hint="eastAsia"/>
          <w:szCs w:val="24"/>
        </w:rPr>
        <w:t>極</w:t>
      </w:r>
      <w:r w:rsidR="0071216B" w:rsidRPr="00A53963">
        <w:rPr>
          <w:rFonts w:ascii="微軟正黑體" w:eastAsia="微軟正黑體" w:hAnsi="微軟正黑體" w:cs="Times New Roman" w:hint="eastAsia"/>
          <w:szCs w:val="24"/>
        </w:rPr>
        <w:t>匹配的</w:t>
      </w:r>
      <w:r w:rsidR="0071216B">
        <w:rPr>
          <w:rFonts w:ascii="微軟正黑體" w:eastAsia="微軟正黑體" w:hAnsi="微軟正黑體" w:cs="Times New Roman" w:hint="eastAsia"/>
          <w:szCs w:val="24"/>
        </w:rPr>
        <w:t>光吸收範圍、與特殊的</w:t>
      </w:r>
      <w:r w:rsidR="0071216B" w:rsidRPr="00A53963">
        <w:rPr>
          <w:rFonts w:ascii="微軟正黑體" w:eastAsia="微軟正黑體" w:hAnsi="微軟正黑體" w:cs="Times New Roman" w:hint="eastAsia"/>
          <w:szCs w:val="24"/>
        </w:rPr>
        <w:t>高</w:t>
      </w:r>
      <w:r w:rsidR="0071216B">
        <w:rPr>
          <w:rFonts w:ascii="微軟正黑體" w:eastAsia="微軟正黑體" w:hAnsi="微軟正黑體" w:cs="Times New Roman" w:hint="eastAsia"/>
          <w:szCs w:val="24"/>
        </w:rPr>
        <w:t>開環電壓（</w:t>
      </w:r>
      <w:r w:rsidR="0071216B" w:rsidRPr="00A53963">
        <w:rPr>
          <w:rFonts w:ascii="微軟正黑體" w:eastAsia="微軟正黑體" w:hAnsi="微軟正黑體" w:cs="Times New Roman" w:hint="eastAsia"/>
          <w:szCs w:val="24"/>
        </w:rPr>
        <w:t>V</w:t>
      </w:r>
      <w:r w:rsidR="0071216B" w:rsidRPr="0071216B">
        <w:rPr>
          <w:rFonts w:ascii="微軟正黑體" w:eastAsia="微軟正黑體" w:hAnsi="微軟正黑體" w:cs="Times New Roman" w:hint="eastAsia"/>
          <w:szCs w:val="24"/>
          <w:vertAlign w:val="subscript"/>
        </w:rPr>
        <w:t>OC</w:t>
      </w:r>
      <w:r w:rsidR="0071216B">
        <w:rPr>
          <w:rFonts w:ascii="微軟正黑體" w:eastAsia="微軟正黑體" w:hAnsi="微軟正黑體" w:cs="Times New Roman" w:hint="eastAsia"/>
          <w:szCs w:val="24"/>
        </w:rPr>
        <w:t>），在</w:t>
      </w:r>
      <w:r w:rsidRPr="00A53963">
        <w:rPr>
          <w:rFonts w:ascii="微軟正黑體" w:eastAsia="微軟正黑體" w:hAnsi="微軟正黑體" w:cs="Times New Roman" w:hint="eastAsia"/>
          <w:szCs w:val="24"/>
        </w:rPr>
        <w:t>即</w:t>
      </w:r>
      <w:r w:rsidR="0071216B">
        <w:rPr>
          <w:rFonts w:ascii="微軟正黑體" w:eastAsia="微軟正黑體" w:hAnsi="微軟正黑體" w:cs="Times New Roman" w:hint="eastAsia"/>
          <w:szCs w:val="24"/>
        </w:rPr>
        <w:t>便如</w:t>
      </w:r>
      <w:r w:rsidRPr="00A53963">
        <w:rPr>
          <w:rFonts w:ascii="微軟正黑體" w:eastAsia="微軟正黑體" w:hAnsi="微軟正黑體" w:cs="Times New Roman" w:hint="eastAsia"/>
          <w:szCs w:val="24"/>
        </w:rPr>
        <w:t>300</w:t>
      </w:r>
      <w:r w:rsidR="0071216B">
        <w:rPr>
          <w:rFonts w:ascii="微軟正黑體" w:eastAsia="微軟正黑體" w:hAnsi="微軟正黑體" w:cs="Times New Roman"/>
          <w:szCs w:val="24"/>
        </w:rPr>
        <w:t xml:space="preserve"> lux</w:t>
      </w:r>
      <w:r w:rsidR="0071216B">
        <w:rPr>
          <w:rFonts w:ascii="微軟正黑體" w:eastAsia="微軟正黑體" w:hAnsi="微軟正黑體" w:cs="Times New Roman" w:hint="eastAsia"/>
          <w:szCs w:val="24"/>
        </w:rPr>
        <w:t>之</w:t>
      </w:r>
      <w:r w:rsidRPr="00A53963">
        <w:rPr>
          <w:rFonts w:ascii="微軟正黑體" w:eastAsia="微軟正黑體" w:hAnsi="微軟正黑體" w:cs="Times New Roman" w:hint="eastAsia"/>
          <w:szCs w:val="24"/>
        </w:rPr>
        <w:t>昏暗光線下</w:t>
      </w:r>
      <w:r w:rsidR="0071216B">
        <w:rPr>
          <w:rFonts w:ascii="微軟正黑體" w:eastAsia="微軟正黑體" w:hAnsi="微軟正黑體" w:cs="Times New Roman" w:hint="eastAsia"/>
          <w:szCs w:val="24"/>
        </w:rPr>
        <w:t>，</w:t>
      </w:r>
      <w:r w:rsidR="0071216B" w:rsidRPr="0071216B">
        <w:rPr>
          <w:rFonts w:ascii="微軟正黑體" w:eastAsia="微軟正黑體" w:hAnsi="微軟正黑體" w:cs="Times New Roman" w:hint="eastAsia"/>
          <w:b/>
          <w:szCs w:val="24"/>
        </w:rPr>
        <w:t>TY6</w:t>
      </w:r>
      <w:r w:rsidR="0071216B">
        <w:rPr>
          <w:rFonts w:ascii="微軟正黑體" w:eastAsia="微軟正黑體" w:hAnsi="微軟正黑體" w:cs="Times New Roman" w:hint="eastAsia"/>
          <w:szCs w:val="24"/>
        </w:rPr>
        <w:t>仍可輸出高達0.6V</w:t>
      </w:r>
      <w:r w:rsidRPr="00A53963">
        <w:rPr>
          <w:rFonts w:ascii="微軟正黑體" w:eastAsia="微軟正黑體" w:hAnsi="微軟正黑體" w:cs="Times New Roman" w:hint="eastAsia"/>
          <w:szCs w:val="24"/>
        </w:rPr>
        <w:t>的</w:t>
      </w:r>
      <w:r w:rsidR="0071216B">
        <w:rPr>
          <w:rFonts w:ascii="微軟正黑體" w:eastAsia="微軟正黑體" w:hAnsi="微軟正黑體" w:cs="Times New Roman" w:hint="eastAsia"/>
          <w:szCs w:val="24"/>
        </w:rPr>
        <w:t>電壓</w:t>
      </w:r>
      <w:r w:rsidRPr="00A53963">
        <w:rPr>
          <w:rFonts w:ascii="微軟正黑體" w:eastAsia="微軟正黑體" w:hAnsi="微軟正黑體" w:cs="Times New Roman" w:hint="eastAsia"/>
          <w:szCs w:val="24"/>
        </w:rPr>
        <w:t>。</w:t>
      </w:r>
    </w:p>
    <w:p w:rsidR="005E5AFA" w:rsidRPr="009E0E47" w:rsidRDefault="005E5AFA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</w:p>
    <w:p w:rsidR="005E5AFA" w:rsidRPr="009E0E47" w:rsidRDefault="005E5AFA" w:rsidP="00061418">
      <w:pPr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Times New Roman"/>
          <w:szCs w:val="24"/>
        </w:rPr>
      </w:pPr>
    </w:p>
    <w:sectPr w:rsidR="005E5AFA" w:rsidRPr="009E0E47" w:rsidSect="0006141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8CA" w:rsidRDefault="008348CA" w:rsidP="00061418">
      <w:r>
        <w:separator/>
      </w:r>
    </w:p>
  </w:endnote>
  <w:endnote w:type="continuationSeparator" w:id="0">
    <w:p w:rsidR="008348CA" w:rsidRDefault="008348CA" w:rsidP="00061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8CA" w:rsidRDefault="008348CA" w:rsidP="00061418">
      <w:r>
        <w:separator/>
      </w:r>
    </w:p>
  </w:footnote>
  <w:footnote w:type="continuationSeparator" w:id="0">
    <w:p w:rsidR="008348CA" w:rsidRDefault="008348CA" w:rsidP="000614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EB2"/>
    <w:rsid w:val="00061418"/>
    <w:rsid w:val="003D1F2F"/>
    <w:rsid w:val="003D6D3E"/>
    <w:rsid w:val="004914E8"/>
    <w:rsid w:val="005E5AFA"/>
    <w:rsid w:val="00682271"/>
    <w:rsid w:val="0071216B"/>
    <w:rsid w:val="007A5B37"/>
    <w:rsid w:val="00807BEF"/>
    <w:rsid w:val="008348CA"/>
    <w:rsid w:val="0087521C"/>
    <w:rsid w:val="00897201"/>
    <w:rsid w:val="008C5C2B"/>
    <w:rsid w:val="00930258"/>
    <w:rsid w:val="00940EB2"/>
    <w:rsid w:val="009E0E47"/>
    <w:rsid w:val="00A1157E"/>
    <w:rsid w:val="00A53963"/>
    <w:rsid w:val="00A873F8"/>
    <w:rsid w:val="00AF31EE"/>
    <w:rsid w:val="00DA2B1B"/>
    <w:rsid w:val="00E9003F"/>
    <w:rsid w:val="00FF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8D83AE-B0DF-4E5B-A4AF-EDD606487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4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4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141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14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14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DFA3C-15CA-401C-A72E-E7E28BD92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HHC</dc:creator>
  <cp:keywords/>
  <dc:description/>
  <cp:lastModifiedBy>NANO-FAYE</cp:lastModifiedBy>
  <cp:revision>10</cp:revision>
  <dcterms:created xsi:type="dcterms:W3CDTF">2018-05-14T11:17:00Z</dcterms:created>
  <dcterms:modified xsi:type="dcterms:W3CDTF">2018-05-15T04:14:00Z</dcterms:modified>
</cp:coreProperties>
</file>